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6100" w:type="dxa"/>
        <w:gridCol w:w="757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6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75700" w:type="pct"/>
          </w:tcPr>
          <w:p>
            <w:pPr/>
            <w:r>
              <w:rPr/>
              <w:t xml:space="preserve">C/ Guillén Morales, 13 (Casa Verde de Aguilar)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Responsable</w:t>
            </w:r>
          </w:p>
        </w:tc>
        <w:tc>
          <w:tcPr>
            <w:tcW w:w="75700" w:type="pct"/>
          </w:tcPr>
          <w:p>
            <w:pPr/>
            <w:r>
              <w:rPr/>
              <w:t xml:space="preserve">Concejalia de Transparencia del Ayuntamiento de Gáldar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75700" w:type="pct"/>
          </w:tcPr>
          <w:p>
            <w:pPr/>
            <w:r>
              <w:rPr/>
              <w:t xml:space="preserve">928880050 Extensiones: 1301 y 1302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Correo Electrónico</w:t>
            </w:r>
          </w:p>
        </w:tc>
        <w:tc>
          <w:tcPr>
            <w:tcW w:w="75700" w:type="pct"/>
          </w:tcPr>
          <w:p>
            <w:pPr/>
            <w:r>
              <w:rPr/>
              <w:t xml:space="preserve">cultura@galdar.es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2026-06-03T18:28:07+00:00</dcterms:created>
  <dcterms:modified xsi:type="dcterms:W3CDTF">2026-06-03T18:28:07+00:00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