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9950" w:type="dxa"/>
        <w:gridCol w:w="31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1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Escritura de Constitución de la Fundación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Justificante de inscripción en el Registro de Fundaciones del Gobierno de Canarias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2024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2023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2022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2021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19750" w:type="dxa"/>
        <w:gridCol w:w="71850" w:type="dxa"/>
        <w:gridCol w:w="34150" w:type="dxa"/>
        <w:gridCol w:w="109600" w:type="dxa"/>
        <w:gridCol w:w="1406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319750" w:type="pct"/>
          </w:tcPr>
          <w:p>
            <w:pPr/>
            <w:r>
              <w:rPr/>
              <w:t xml:space="preserve">Año</w:t>
            </w:r>
          </w:p>
        </w:tc>
        <w:tc>
          <w:tcPr>
            <w:tcW w:w="71850" w:type="pct"/>
          </w:tcPr>
          <w:p>
            <w:pPr/>
            <w:r>
              <w:rPr/>
              <w:t xml:space="preserve">Dotación Fundacional</w:t>
            </w:r>
          </w:p>
        </w:tc>
        <w:tc>
          <w:tcPr>
            <w:tcW w:w="34150" w:type="pct"/>
          </w:tcPr>
          <w:p>
            <w:pPr/>
            <w:r>
              <w:rPr/>
              <w:t xml:space="preserve">Ingresos por explotación de servicios</w:t>
            </w:r>
          </w:p>
        </w:tc>
        <w:tc>
          <w:tcPr>
            <w:tcW w:w="109600" w:type="pct"/>
          </w:tcPr>
          <w:p>
            <w:pPr/>
            <w:r>
              <w:rPr/>
              <w:t xml:space="preserve">Transferencias de Crédito de otras administraciones (Ayuntamiento y FEDAC)</w:t>
            </w:r>
          </w:p>
        </w:tc>
        <w:tc>
          <w:tcPr>
            <w:tcW w:w="140650" w:type="pct"/>
          </w:tcPr>
          <w:p>
            <w:pPr/>
            <w:r>
              <w:rPr/>
              <w:t xml:space="preserve">Total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600,00€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103.000,00€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111.100,00€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600,00€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103.000,00€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111.100,00€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1.300,00€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95.000,00€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103.800,00€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1.300,00€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74.200,00€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83.000,00€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2026-07-21T05:12:29+00:00</dcterms:created>
  <dcterms:modified xsi:type="dcterms:W3CDTF">2026-07-21T05:12:29+00:00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