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(Ley12/2014, de 26 de diciembre) en su apartado 3. Personal de libre nombramiento,concretamente en el subapartado “1034. Resoluciones que autoricen el ejercicio de la actividad privada al cese de los altos cargos y asimilados”, desde el Patronato de la Fundación Canaria Ciudad de Gáldar, pone en conocimiento de la ciudadanía de Gáldar y del público en general, que no existe actividad en este apartado pudiendo utilizar la ciudadanía los medios legalmente establecidos para ejercer su derecho de acceso a la información pública.</w:t>
      </w:r>
    </w:p>
    <w:p>
      <w:pPr/>
      <w:r>
        <w:rPr/>
        <w:t xml:space="preserve"> </w:t>
      </w:r>
    </w:p>
    <w:tbl>
      <w:tblGrid>
        <w:gridCol w:w="72200" w:type="dxa"/>
        <w:gridCol w:w="445550" w:type="dxa"/>
      </w:tblGrid>
      <w:tblPr>
        <w:tblW w:w="482300" w:type="pct"/>
        <w:tblLayout w:type="autofit"/>
        <w:bidiVisual w:val="0"/>
      </w:tblPr>
      <w:tr>
        <w:trPr>
          <w:tblHeader w:val="1"/>
        </w:trPr>
        <w:tc>
          <w:tcPr>
            <w:tcW w:w="72200" w:type="pct"/>
          </w:tcPr>
          <w:p>
            <w:pPr/>
            <w:r>
              <w:rPr/>
              <w:t xml:space="preserve">Denominación</w:t>
            </w:r>
          </w:p>
        </w:tc>
        <w:tc>
          <w:tcPr>
            <w:tcW w:w="445550" w:type="pct"/>
          </w:tcPr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tcW w:w="72200" w:type="pct"/>
          </w:tcPr>
          <w:p>
            <w:pPr/>
            <w:r>
              <w:rPr/>
              <w:t xml:space="preserve">Resoluciones que autoricen el ejercicio de la actividad privada al cese de los altos cargos y asimilados</w:t>
            </w:r>
          </w:p>
        </w:tc>
        <w:tc>
          <w:tcPr>
            <w:tcW w:w="445550" w:type="pct"/>
          </w:tcPr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2026-07-21T05:17:56+00:00</dcterms:created>
  <dcterms:modified xsi:type="dcterms:W3CDTF">2026-07-21T05:17:56+00:00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