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3. Personal de libre nombramiento, concretamente en el subapartado “1035. Funciones; órganos colegiados administrativos o sociales de los que es miembro y actividades públicas y privadas para las que se le ha concedido la compatibilidad”, desde el Patronato de la Fundación Canaria Ciudad de Gáldar,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</w:t>
      </w:r>
      <w:r>
        <w:rPr/>
        <w:t xml:space="preserve"> y </w:t>
      </w:r>
      <w:r>
        <w:rPr>
          <w:b w:val="1"/>
          <w:bCs w:val="1"/>
        </w:rPr>
        <w:t xml:space="preserve">2025 no</w:t>
      </w:r>
      <w:r>
        <w:rPr/>
        <w:t xml:space="preserve"> existió actividad 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  <w:vAlign w:val="center"/>
          </w:tcPr>
          <w:p>
            <w:pPr>
              <w:jc w:val="center"/>
            </w:pPr>
            <w:r>
              <w:rPr/>
              <w:t xml:space="preserve">Resoluciones de compatibilidad</w:t>
            </w:r>
          </w:p>
        </w:tc>
        <w:tc>
          <w:tcPr>
            <w:tcW w:w="445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2026-07-21T05:15:04+00:00</dcterms:created>
  <dcterms:modified xsi:type="dcterms:W3CDTF">2026-07-21T05:15:04+00:00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