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5.Retribuciones, concretamente en el subapartado “1048 Retribución percibida anualmente, articulada en función de la clase o categoría del órgano, y en caso de dedicación parcial, especificando la dedicación mínima exigida”,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>
          <w:b w:val="1"/>
          <w:bCs w:val="1"/>
        </w:rPr>
        <w:t xml:space="preserve">no existió actividad</w:t>
      </w:r>
      <w:r>
        <w:rPr/>
        <w:t xml:space="preserve"> en este apartado, dado que los patronos no perciben retribuciones de ningún tipo con cargo al presupuesto de la Fundación, ello no obsta a que la ciudadanía pueda emplear los medios legalmente establecidos para ejercer su derecho de acceso a la información pública.</w:t>
      </w:r>
    </w:p>
    <w:p>
      <w:pPr>
        <w:jc w:val="both"/>
      </w:pPr>
      <w:r>
        <w:rPr/>
        <w:t xml:space="preserve">En los estatutos de la Fundación Gáldar queda constancia de la gratuidad de los cargos en el artículo 25:</w:t>
      </w:r>
    </w:p>
    <w:p>
      <w:pPr/>
    </w:p>
    <w:p>
      <w:pPr>
        <w:numPr>
          <w:ilvl w:val="0"/>
          <w:numId w:val="1"/>
        </w:numPr>
      </w:pPr>
      <w:r>
        <w:rPr/>
        <w:t xml:space="preserve">Los patronos ejercerán su cargo gratuitamente sin que en ningún caso puedan percibir retribución por el desempeño de su función.</w:t>
      </w:r>
    </w:p>
    <w:p>
      <w:pPr>
        <w:numPr>
          <w:ilvl w:val="0"/>
          <w:numId w:val="1"/>
        </w:numPr>
      </w:pPr>
      <w:r>
        <w:rPr/>
        <w:t xml:space="preserve">Los patronos tendrán derecho a ser reembolsados de los gastos debidamente justificados que el desempeño de su función les ocasiones.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E65B8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2026-07-21T05:17:06+00:00</dcterms:created>
  <dcterms:modified xsi:type="dcterms:W3CDTF">2026-07-21T05:17:06+00:00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