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5.Retribuciones, concretamente en el subapartado “1048 Retribución percibida anualmente, articulada en función de la clase o categoría del órgano, y en caso de dedicación parcial, especificando la dedicación mínima exigida”, desde el Patronato de la Fundación Canaria Ciudad de Gáldar, se pone en conocimiento de la ciudadanía de Gáldar y del público en general, que durante los ejercicios </w:t>
      </w:r>
      <w:r>
        <w:rPr>
          <w:b w:val="1"/>
          <w:bCs w:val="1"/>
        </w:rPr>
        <w:t xml:space="preserve">2021, 2022, 2023, 2024</w:t>
      </w:r>
      <w:r>
        <w:rPr/>
        <w:t xml:space="preserve"> y </w:t>
      </w:r>
      <w:r>
        <w:rPr>
          <w:b w:val="1"/>
          <w:bCs w:val="1"/>
        </w:rPr>
        <w:t xml:space="preserve">2025 </w:t>
      </w:r>
      <w:r>
        <w:rPr>
          <w:b w:val="1"/>
          <w:bCs w:val="1"/>
        </w:rPr>
        <w:t xml:space="preserve">no existió actividad</w:t>
      </w:r>
      <w:r>
        <w:rPr/>
        <w:t xml:space="preserve"> en este apartado, dado que los patronos no perciben retribuciones de ningún tipo con cargo al presupuesto de la Fundación, ello no obsta a que la ciudadanía pueda emplear los medios legalmente establecidos para ejercer su derecho de acceso a la información pública.</w:t>
      </w:r>
    </w:p>
    <w:tbl>
      <w:tblGrid>
        <w:gridCol w:w="85800" w:type="dxa"/>
        <w:gridCol w:w="4468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8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5800" w:type="pct"/>
            <w:vAlign w:val="center"/>
          </w:tcPr>
          <w:p>
            <w:pPr>
              <w:jc w:val="center"/>
            </w:pPr>
            <w:r>
              <w:rPr/>
              <w:t xml:space="preserve">Certificado 2025</w:t>
            </w:r>
          </w:p>
        </w:tc>
        <w:tc>
          <w:tcPr>
            <w:tcW w:w="4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2026-06-03T18:27:58+00:00</dcterms:created>
  <dcterms:modified xsi:type="dcterms:W3CDTF">2026-06-03T18:27:58+00:00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