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6"/>
      </w:pPr>
      <w:r>
        <w:rPr/>
        <w:t xml:space="preserve"> </w:t>
      </w:r>
    </w:p>
    <w:tbl>
      <w:tblGrid>
        <w:gridCol w:w="299150" w:type="dxa"/>
        <w:gridCol w:w="299150" w:type="dxa"/>
        <w:gridCol w:w="444550" w:type="dxa"/>
      </w:tblGrid>
      <w:tblPr>
        <w:tblW w:w="950" w:type="pct"/>
        <w:tblLayout w:type="autofit"/>
        <w:bidiVisual w:val="0"/>
      </w:tblPr>
      <w:tr>
        <w:trPr>
          <w:tblHeader w:val="1"/>
        </w:trPr>
        <w:tc>
          <w:tcPr>
            <w:tcW w:w="299150" w:type="pct"/>
          </w:tcPr>
          <w:p>
            <w:pPr/>
            <w:r>
              <w:rPr/>
              <w:t xml:space="preserve">Año</w:t>
            </w:r>
          </w:p>
        </w:tc>
        <w:tc>
          <w:tcPr>
            <w:tcW w:w="299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4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No existen puestos vacantes en la Fundación Gáldar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Distribución por grupos de clasificación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Número de empleados/as por departamentos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Relación nominal del personal que presta servicio en la entidad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2024-2023 ( 2º Semeste)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Relación Nominal del Personal 2024-2023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Nº Empleados por Departamentos 2024-2023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Grupos Clasificación 2024-2023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Puestos ocupados y vancantes 2024-2023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2022-2023</w:t>
            </w:r>
          </w:p>
        </w:tc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Puestos ocupados y vancantes 2022-2023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2021-2022</w:t>
            </w:r>
          </w:p>
        </w:tc>
        <w:tc>
          <w:tcPr>
            <w:tcW w:w="299150" w:type="pct"/>
            <w:vAlign w:val="center"/>
          </w:tcPr>
          <w:p>
            <w:pPr>
              <w:jc w:val="center"/>
            </w:pPr>
            <w:r>
              <w:rPr/>
              <w:t xml:space="preserve">Puestos ocupados y vacantes 2021-2022 (Con correcciones)</w:t>
            </w:r>
          </w:p>
        </w:tc>
        <w:tc>
          <w:tcPr>
            <w:tcW w:w="444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2026-07-21T05:17:06+00:00</dcterms:created>
  <dcterms:modified xsi:type="dcterms:W3CDTF">2026-07-21T05:17:06+00:00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