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4 Información en materia de empleo,concretamente en el subapartado “1044 Número de liberados/as sindicales, número de horas sindicales utilizadas por sindicato y, en su caso, sindicato al que pertenecen los liberados/as ycoste de las liberaciones”,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2023, 2024 y 2025</w:t>
      </w:r>
      <w:r>
        <w:rPr/>
        <w:t xml:space="preserve"> </w:t>
      </w:r>
      <w:r>
        <w:rPr>
          <w:b w:val="1"/>
          <w:bCs w:val="1"/>
        </w:rPr>
        <w:t xml:space="preserve">no existió actividad en este apartado</w:t>
      </w:r>
      <w:r>
        <w:rPr/>
        <w:t xml:space="preserve"> pudiendo utilizar la ciudadanía los medios legalmente establecidos para ejercer su derecho de acceso a la información pública. 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2026-09-04T06:58:34+00:00</dcterms:created>
  <dcterms:modified xsi:type="dcterms:W3CDTF">2026-09-04T06:58:34+00:00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