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4. Información en materia de empleo,concretamente en el subapartado “1047 Identificación personal, puesto de trabajo que desempeña y actividad o actividades para las que se autoriza la compatibilidad”,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 y 2024</w:t>
      </w:r>
      <w:r>
        <w:rPr/>
        <w:t xml:space="preserve"> </w:t>
      </w:r>
      <w:r>
        <w:rPr>
          <w:b w:val="1"/>
          <w:bCs w:val="1"/>
        </w:rPr>
        <w:t xml:space="preserve">no existió actividad</w:t>
      </w:r>
      <w:r>
        <w:rPr/>
        <w:t xml:space="preserve"> en este apartado pudiendo utilizar laciudadanía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2026-07-21T05:18:13+00:00</dcterms:created>
  <dcterms:modified xsi:type="dcterms:W3CDTF">2026-07-21T05:18:13+00:00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