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(Ley12/2014, de 26 de diciembre) en su apartado 6.Normativa, desde el Patronato de la Fundación Canaria Ciudad de Gáldar, pone en conocimiento de la ciudadanía de Gáldar y del público engeneral, que propiamente la Fundación no es un ente con capacidad de generar normativa que afecte al ciudadano, no obstante, hay que considerar tanto sus </w:t>
      </w:r>
      <w:r>
        <w:rPr>
          <w:b w:val="1"/>
          <w:bCs w:val="1"/>
        </w:rPr>
        <w:t xml:space="preserve">Estatutos</w:t>
      </w:r>
      <w:r>
        <w:rPr/>
        <w:t xml:space="preserve"> como la </w:t>
      </w:r>
      <w:r>
        <w:rPr>
          <w:b w:val="1"/>
          <w:bCs w:val="1"/>
        </w:rPr>
        <w:t xml:space="preserve">Ordenanza Fiscal reguladora del Precio Público por prestación de servicio de la Escuela Municipal de Música Pedro Espinosa. 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2026-06-03T18:23:16+00:00</dcterms:created>
  <dcterms:modified xsi:type="dcterms:W3CDTF">2026-06-03T18:23:16+00:00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