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both"/>
      </w:pPr>
      <w:r>
        <w:rPr/>
        <w:t xml:space="preserve"> </w:t>
      </w:r>
    </w:p>
    <w:p>
      <w:pPr>
        <w:jc w:val="both"/>
      </w:pPr>
      <w:r>
        <w:rPr/>
        <w:t xml:space="preserve">Al objeto de dar cumplimiento a los Indicadores de la Ley Canaria de Transparencia (Ley12/2014, de 26 de diciembre) en su apartado 6.Normativa, desde el Patronato de la Fundación Canaria Ciudad de Gáldar, pone en conocimiento de la ciudadanía de Gáldar y del público engeneral, que propiamente la Fundación no es un ente con capacidad de generar normativa que afecte al ciudadano, no obstante, hay que considerar tanto sus </w:t>
      </w:r>
      <w:r>
        <w:rPr>
          <w:b w:val="1"/>
          <w:bCs w:val="1"/>
        </w:rPr>
        <w:t xml:space="preserve">Estatutos</w:t>
      </w:r>
      <w:r>
        <w:rPr/>
        <w:t xml:space="preserve"> como la </w:t>
      </w:r>
      <w:r>
        <w:rPr>
          <w:b w:val="1"/>
          <w:bCs w:val="1"/>
        </w:rPr>
        <w:t xml:space="preserve">Ordenanza Fiscal reguladora del Precio Público por prestación de servicio de la Escuela Municipal de Música Pedro Espinosa. </w:t>
      </w:r>
    </w:p>
    <w:p>
      <w:pPr>
        <w:jc w:val="both"/>
      </w:pPr>
      <w:r>
        <w:rPr/>
        <w:t xml:space="preserve"> </w:t>
      </w:r>
    </w:p>
    <w:p>
      <w:pPr>
        <w:jc w:val="both"/>
      </w:pP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2026-07-21T05:13:10+00:00</dcterms:created>
  <dcterms:modified xsi:type="dcterms:W3CDTF">2026-07-21T05:13:10+00:00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