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</w:t>
      </w:r>
      <w:r>
        <w:rPr>
          <w:b w:val="1"/>
          <w:bCs w:val="1"/>
        </w:rPr>
        <w:t xml:space="preserve">“1106. Gasto efectuado en concepto de arrendamiento de bienes inmuebles”,</w:t>
      </w:r>
      <w:r>
        <w:rPr/>
        <w:t xml:space="preserve"> desde el Patronato de la Fundación Canaria Ciudad de Gáldar, se pone en conocimiento de la ciudadanía de Gáldar y del público en general, que durante </w:t>
      </w:r>
      <w:r>
        <w:rPr>
          <w:b w:val="1"/>
          <w:bCs w:val="1"/>
        </w:rPr>
        <w:t xml:space="preserve">los ejercicios 2021, 2022. 2023 y 2024 no existió actividad en este apartado</w:t>
      </w:r>
      <w:r>
        <w:rPr/>
        <w:t xml:space="preserve">, pudiendo utilizar la ciudadanía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2026-09-04T07:02:04+00:00</dcterms:created>
  <dcterms:modified xsi:type="dcterms:W3CDTF">2026-09-04T07:02:04+00:00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