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8. Económico y financiera concretamente en el subapartado </w:t>
      </w:r>
      <w:r>
        <w:rPr>
          <w:b w:val="1"/>
          <w:bCs w:val="1"/>
        </w:rPr>
        <w:t xml:space="preserve">“1106. Gasto efectuado en concepto de arrendamiento de bienes inmuebles”,</w:t>
      </w:r>
      <w:r>
        <w:rPr/>
        <w:t xml:space="preserve"> desde el Patronato de la Fundación Canaria Ciudad de Gáldar, se pone en conocimiento de la ciudadanía de Gáldar y del público en general, que durante </w:t>
      </w:r>
      <w:r>
        <w:rPr>
          <w:b w:val="1"/>
          <w:bCs w:val="1"/>
        </w:rPr>
        <w:t xml:space="preserve">los ejercicios 2021, 2022. 2023 y 2024 no existió actividad en este apartado</w:t>
      </w:r>
      <w:r>
        <w:rPr/>
        <w:t xml:space="preserve">, pudiendo utilizar la ciudadanía los medios legalmente establecidos para ejercer su derecho de acceso a la información pública.</w:t>
      </w:r>
    </w:p>
    <w:tbl>
      <w:tblGrid>
        <w:gridCol w:w="85800" w:type="dxa"/>
        <w:gridCol w:w="4468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8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5800" w:type="pct"/>
            <w:vAlign w:val="center"/>
          </w:tcPr>
          <w:p>
            <w:pPr>
              <w:jc w:val="center"/>
            </w:pPr>
            <w:r>
              <w:rPr/>
              <w:t xml:space="preserve">Certificado 2025</w:t>
            </w:r>
          </w:p>
        </w:tc>
        <w:tc>
          <w:tcPr>
            <w:tcW w:w="4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2026-07-21T05:17:46+00:00</dcterms:created>
  <dcterms:modified xsi:type="dcterms:W3CDTF">2026-07-21T05:17:46+00:00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