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Al objeto de dar cumplimiento a los Indicadores de la Ley Canaria de Transparencia (Ley 12/2014, de 26 de diciembre) en su apartado 9. Patrimonio y todos los siguientes subapartados:</w:t>
      </w:r>
    </w:p>
    <w:p>
      <w:pPr>
        <w:jc w:val="both"/>
      </w:pPr>
      <w:r>
        <w:rPr>
          <w:b w:val="1"/>
          <w:bCs w:val="1"/>
        </w:rPr>
        <w:t xml:space="preserve">9.1 Bienes demaniales</w:t>
      </w:r>
      <w:r>
        <w:rPr/>
        <w:t xml:space="preserve"> 1117 - Relación de bienes demaniales de uso o servicio público de acceso público.</w:t>
      </w:r>
    </w:p>
    <w:p>
      <w:pPr>
        <w:jc w:val="both"/>
      </w:pPr>
      <w:r>
        <w:rPr>
          <w:b w:val="1"/>
          <w:bCs w:val="1"/>
        </w:rPr>
        <w:t xml:space="preserve">9.2 Bienes inmuebles de los que sean titulares o sobre los que ostenten algún derecho real</w:t>
      </w:r>
      <w:r>
        <w:rPr/>
        <w:t xml:space="preserve"> 1118 - Ocupados y no por dependencias de sus órganos o servicios.</w:t>
      </w:r>
    </w:p>
    <w:p>
      <w:pPr>
        <w:jc w:val="both"/>
      </w:pPr>
      <w:r>
        <w:rPr>
          <w:b w:val="1"/>
          <w:bCs w:val="1"/>
        </w:rPr>
        <w:t xml:space="preserve">9.3 Bienes inmuebles cedidos por otras administraciones</w:t>
      </w:r>
      <w:r>
        <w:rPr/>
        <w:t xml:space="preserve"> 1119 - Ocupados o no por dependencias de sus órganos o servicios.</w:t>
      </w:r>
    </w:p>
    <w:p>
      <w:pPr>
        <w:jc w:val="both"/>
      </w:pPr>
      <w:r>
        <w:rPr>
          <w:b w:val="1"/>
          <w:bCs w:val="1"/>
        </w:rPr>
        <w:t xml:space="preserve">9.4 Bienes inmuebles cedidos a terceros por cualquier título</w:t>
      </w:r>
      <w:r>
        <w:rPr/>
        <w:t xml:space="preserve"> 1120 - Persona o entidad beneficiaria y destino de la cesión.</w:t>
      </w:r>
    </w:p>
    <w:p>
      <w:pPr>
        <w:jc w:val="both"/>
      </w:pPr>
      <w:r>
        <w:rPr>
          <w:b w:val="1"/>
          <w:bCs w:val="1"/>
        </w:rPr>
        <w:t xml:space="preserve">9.5 Bienes inmuebles arrendados</w:t>
      </w:r>
      <w:r>
        <w:rPr/>
        <w:t xml:space="preserve"> 1121 - Destino de uso o servicio público.</w:t>
      </w:r>
    </w:p>
    <w:p>
      <w:pPr>
        <w:jc w:val="both"/>
      </w:pPr>
      <w:r>
        <w:rPr>
          <w:b w:val="1"/>
          <w:bCs w:val="1"/>
        </w:rPr>
        <w:t xml:space="preserve">9.6 Vehículos oficiales</w:t>
      </w:r>
      <w:r>
        <w:rPr/>
        <w:t xml:space="preserve"> 1122 - De los que sean titulares y arrendados, y en su caso, especificando los órganos o unidades a los que están adscritos.</w:t>
      </w:r>
    </w:p>
    <w:p>
      <w:pPr>
        <w:jc w:val="both"/>
      </w:pPr>
      <w:r>
        <w:rPr>
          <w:b w:val="1"/>
          <w:bCs w:val="1"/>
        </w:rPr>
        <w:t xml:space="preserve">9.7 Utilización de dominio público</w:t>
      </w:r>
      <w:r>
        <w:rPr/>
        <w:t xml:space="preserve"> 1125 - Concesiones, autorizaciones, licencias y demás actos administrativos de utilización de dominio público.</w:t>
      </w:r>
    </w:p>
    <w:p>
      <w:pPr>
        <w:jc w:val="both"/>
      </w:pPr>
      <w:r>
        <w:rPr/>
        <w:t xml:space="preserve">Desde el Patronato de la Fundación Canaria Ciudad de Gáldar, se pone en conocimiento de la ciudadanía de Gáldar y del público en general, </w:t>
      </w:r>
      <w:r>
        <w:rPr>
          <w:b w:val="1"/>
          <w:bCs w:val="1"/>
        </w:rPr>
        <w:t xml:space="preserve">que durante los ejercicios 2021, 2022, 2023, 2024 y 2025 no existió actividad en estos apartados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2026-10-20T23:22:25+00:00</dcterms:created>
  <dcterms:modified xsi:type="dcterms:W3CDTF">2026-10-20T23:22:25+00:00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