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6750" w:type="dxa"/>
        <w:gridCol w:w="4144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491200" w:type="pct"/>
            <w:gridSpan w:val="2"/>
          </w:tcPr>
          <w:p>
            <w:pPr/>
            <w:r>
              <w:rPr/>
              <w:t xml:space="preserve">Órgano de Contratación</w:t>
            </w:r>
          </w:p>
        </w:tc>
      </w:tr>
      <w:tr>
        <w:trPr/>
        <w:tc>
          <w:tcPr>
            <w:tcW w:w="76750" w:type="pct"/>
            <w:vAlign w:val="center"/>
          </w:tcPr>
          <w:p>
            <w:pPr>
              <w:jc w:val="center"/>
            </w:pPr>
            <w:r>
              <w:rPr/>
              <w:t xml:space="preserve">Órgano de Contratación</w:t>
            </w:r>
          </w:p>
        </w:tc>
        <w:tc>
          <w:tcPr>
            <w:tcW w:w="414450" w:type="pct"/>
            <w:vAlign w:val="center"/>
          </w:tcPr>
          <w:p>
            <w:pPr>
              <w:jc w:val="center"/>
            </w:pPr>
            <w:r>
              <w:rPr/>
              <w:t xml:space="preserve">Presidencia de la Fundación Canaria Ciudad de Gáldar</w:t>
            </w:r>
          </w:p>
        </w:tc>
      </w:tr>
      <w:tr>
        <w:trPr/>
        <w:tc>
          <w:tcPr>
            <w:tcW w:w="491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Dirección Postal</w:t>
            </w:r>
          </w:p>
        </w:tc>
      </w:tr>
      <w:tr>
        <w:trPr/>
        <w:tc>
          <w:tcPr>
            <w:tcW w:w="76750" w:type="pct"/>
            <w:vAlign w:val="center"/>
          </w:tcPr>
          <w:p>
            <w:pPr>
              <w:jc w:val="center"/>
            </w:pPr>
            <w:r>
              <w:rPr/>
              <w:t xml:space="preserve">Domicilio</w:t>
            </w:r>
          </w:p>
        </w:tc>
        <w:tc>
          <w:tcPr>
            <w:tcW w:w="414450" w:type="pct"/>
            <w:vAlign w:val="center"/>
          </w:tcPr>
          <w:p>
            <w:pPr>
              <w:jc w:val="center"/>
            </w:pPr>
            <w:r>
              <w:rPr/>
              <w:t xml:space="preserve">C/ Plaza de Santiago, 1 , 35460. Gáldar</w:t>
            </w:r>
          </w:p>
        </w:tc>
      </w:tr>
      <w:tr>
        <w:trPr/>
        <w:tc>
          <w:tcPr>
            <w:tcW w:w="76750" w:type="pct"/>
            <w:vAlign w:val="center"/>
          </w:tcPr>
          <w:p>
            <w:pPr>
              <w:jc w:val="center"/>
            </w:pPr>
            <w:r>
              <w:rPr/>
              <w:t xml:space="preserve">Teléfono</w:t>
            </w:r>
          </w:p>
        </w:tc>
        <w:tc>
          <w:tcPr>
            <w:tcW w:w="414450" w:type="pct"/>
            <w:vAlign w:val="center"/>
          </w:tcPr>
          <w:p>
            <w:pPr>
              <w:jc w:val="center"/>
            </w:pPr>
            <w:r>
              <w:rPr/>
              <w:t xml:space="preserve">928.880.050</w:t>
            </w:r>
          </w:p>
        </w:tc>
      </w:tr>
      <w:tr>
        <w:trPr/>
        <w:tc>
          <w:tcPr>
            <w:tcW w:w="76750" w:type="pct"/>
            <w:vAlign w:val="center"/>
          </w:tcPr>
          <w:p>
            <w:pPr>
              <w:jc w:val="center"/>
            </w:pPr>
            <w:r>
              <w:rPr/>
              <w:t xml:space="preserve">Fax</w:t>
            </w:r>
          </w:p>
        </w:tc>
        <w:tc>
          <w:tcPr>
            <w:tcW w:w="414450" w:type="pct"/>
            <w:vAlign w:val="center"/>
          </w:tcPr>
          <w:p>
            <w:pPr>
              <w:jc w:val="center"/>
            </w:pPr>
            <w:r>
              <w:rPr/>
              <w:t xml:space="preserve">928.550.394</w:t>
            </w:r>
          </w:p>
        </w:tc>
      </w:tr>
      <w:tr>
        <w:trPr/>
        <w:tc>
          <w:tcPr>
            <w:tcW w:w="76750" w:type="pct"/>
            <w:vAlign w:val="center"/>
          </w:tcPr>
          <w:p>
            <w:pPr>
              <w:jc w:val="center"/>
            </w:pPr>
            <w:r>
              <w:rPr/>
              <w:t xml:space="preserve">Correo Electrónico</w:t>
            </w:r>
          </w:p>
        </w:tc>
        <w:tc>
          <w:tcPr>
            <w:tcW w:w="414450" w:type="pct"/>
            <w:vAlign w:val="center"/>
          </w:tcPr>
          <w:p>
            <w:pPr>
              <w:jc w:val="center"/>
            </w:pPr>
            <w:r>
              <w:rPr/>
              <w:t xml:space="preserve">jmcastillo@galdar.es</w:t>
            </w:r>
          </w:p>
        </w:tc>
      </w:tr>
      <w:tr>
        <w:trPr/>
        <w:tc>
          <w:tcPr>
            <w:tcW w:w="76750" w:type="pct"/>
            <w:vAlign w:val="center"/>
          </w:tcPr>
          <w:p>
            <w:pPr>
              <w:jc w:val="center"/>
            </w:pPr>
          </w:p>
        </w:tc>
        <w:tc>
          <w:tcPr>
            <w:tcW w:w="414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120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Información que se considere necesaria o conveniente para la adecuada gestión de la contratación</w:t>
      </w:r>
    </w:p>
    <w:p>
      <w:pPr/>
      <w:r>
        <w:rPr/>
        <w:t xml:space="preserve"> - No existen instrucciones, normas internas de contratación u otra información de relevancia en la materia en esta Entidad, durante los años 2023, 2024 y 2025.  - La gestión de contratación se gestiona a partir de la </w:t>
      </w:r>
    </w:p>
    <w:p>
      <w:pPr/>
      <w:r>
        <w:rPr/>
        <w:t xml:space="preserve"> - No se han realizado preguntas frecuentes en los procesos de contratación ni se han realizado aclaraciones relativas al contenido de los contratos durante los años 2023, 2024 y 2025.</w:t>
      </w:r>
    </w:p>
    <w:p>
      <w:pPr>
        <w:jc w:val="center"/>
      </w:pPr>
      <w:r>
        <w:rPr>
          <w:b w:val="1"/>
          <w:bCs w:val="1"/>
        </w:rPr>
        <w:t xml:space="preserve">2025</w:t>
      </w:r>
    </w:p>
    <w:tbl>
      <w:tblGrid>
        <w:gridCol w:w="10650" w:type="dxa"/>
        <w:gridCol w:w="486050" w:type="dxa"/>
        <w:gridCol w:w="369900" w:type="dxa"/>
      </w:tblGrid>
      <w:tblPr>
        <w:tblW w:w="484650" w:type="pct"/>
        <w:tblLayout w:type="autofit"/>
        <w:bidiVisual w:val="0"/>
      </w:tblPr>
      <w:tr>
        <w:trPr>
          <w:tblHeader w:val="1"/>
        </w:trPr>
        <w:tc>
          <w:tcPr>
            <w:tcW w:w="462450" w:type="pct"/>
            <w:gridSpan w:val="3"/>
          </w:tcPr>
          <w:p>
            <w:pPr/>
            <w:r>
              <w:rPr/>
              <w:t xml:space="preserve">Contratos</w:t>
            </w:r>
          </w:p>
        </w:tc>
      </w:tr>
      <w:tr>
        <w:trPr/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Contratos Programados</w:t>
            </w:r>
          </w:p>
        </w:tc>
        <w:tc>
          <w:tcPr>
            <w:tcW w:w="486050" w:type="pct"/>
            <w:vAlign w:val="center"/>
          </w:tcPr>
          <w:p>
            <w:pPr>
              <w:jc w:val="center"/>
            </w:pPr>
            <w:r>
              <w:rPr/>
              <w:t xml:space="preserve">Contratos programados 2025</w:t>
            </w:r>
          </w:p>
        </w:tc>
        <w:tc>
          <w:tcPr>
            <w:tcW w:w="369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Contratos Adjudicados</w:t>
            </w:r>
          </w:p>
        </w:tc>
        <w:tc>
          <w:tcPr>
            <w:tcW w:w="486050" w:type="pct"/>
            <w:vAlign w:val="center"/>
          </w:tcPr>
          <w:p>
            <w:pPr>
              <w:jc w:val="center"/>
            </w:pPr>
            <w:r>
              <w:rPr/>
              <w:t xml:space="preserve">Contratos adjudicados 2025</w:t>
            </w:r>
          </w:p>
        </w:tc>
        <w:tc>
          <w:tcPr>
            <w:tcW w:w="3699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Licitaciones en curso</w:t>
            </w:r>
          </w:p>
        </w:tc>
        <w:tc>
          <w:tcPr>
            <w:tcW w:w="486050" w:type="pct"/>
            <w:vAlign w:val="center"/>
          </w:tcPr>
          <w:p>
            <w:pPr>
              <w:jc w:val="center"/>
            </w:pPr>
            <w:r>
              <w:rPr/>
              <w:t xml:space="preserve">No hubo licitaciones en curso en 2025</w:t>
            </w:r>
          </w:p>
        </w:tc>
        <w:tc>
          <w:tcPr>
            <w:tcW w:w="369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Licitaciones anuladas</w:t>
            </w:r>
          </w:p>
        </w:tc>
        <w:tc>
          <w:tcPr>
            <w:tcW w:w="486050" w:type="pct"/>
            <w:vAlign w:val="center"/>
          </w:tcPr>
          <w:p>
            <w:pPr>
              <w:jc w:val="center"/>
            </w:pPr>
            <w:r>
              <w:rPr/>
              <w:t xml:space="preserve">No hay actividad en 2025</w:t>
            </w:r>
          </w:p>
        </w:tc>
        <w:tc>
          <w:tcPr>
            <w:tcW w:w="369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Composición de la mesa de contratación</w:t>
            </w:r>
          </w:p>
        </w:tc>
        <w:tc>
          <w:tcPr>
            <w:tcW w:w="486050" w:type="pct"/>
            <w:vAlign w:val="center"/>
          </w:tcPr>
          <w:p>
            <w:pPr>
              <w:jc w:val="center"/>
            </w:pPr>
            <w:r>
              <w:rPr/>
              <w:t xml:space="preserve">Composición de la mesa de contratación 2025</w:t>
            </w:r>
          </w:p>
        </w:tc>
        <w:tc>
          <w:tcPr>
            <w:tcW w:w="3699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Contratos Menores</w:t>
            </w:r>
          </w:p>
        </w:tc>
        <w:tc>
          <w:tcPr>
            <w:tcW w:w="486050" w:type="pct"/>
            <w:vAlign w:val="center"/>
          </w:tcPr>
          <w:p>
            <w:pPr>
              <w:jc w:val="center"/>
            </w:pPr>
            <w:r>
              <w:rPr/>
              <w:t xml:space="preserve">La entidad no formalizó contratos menores en el ejercicio 2025, los únicos formalizados están publicados en el apartado que corresponde.</w:t>
            </w:r>
          </w:p>
        </w:tc>
        <w:tc>
          <w:tcPr>
            <w:tcW w:w="369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Modificaciones de contratos</w:t>
            </w:r>
          </w:p>
        </w:tc>
        <w:tc>
          <w:tcPr>
            <w:tcW w:w="486050" w:type="pct"/>
            <w:vAlign w:val="center"/>
          </w:tcPr>
          <w:p>
            <w:pPr>
              <w:jc w:val="center"/>
            </w:pPr>
            <w:r>
              <w:rPr/>
              <w:t xml:space="preserve">No hubo modificaciones de contratos formalizados en el 2025.</w:t>
            </w:r>
          </w:p>
        </w:tc>
        <w:tc>
          <w:tcPr>
            <w:tcW w:w="369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Contratos Formalizados</w:t>
            </w:r>
          </w:p>
        </w:tc>
        <w:tc>
          <w:tcPr>
            <w:tcW w:w="486050" w:type="pct"/>
            <w:vAlign w:val="center"/>
          </w:tcPr>
          <w:p>
            <w:pPr>
              <w:jc w:val="center"/>
            </w:pPr>
            <w:r>
              <w:rPr/>
              <w:t xml:space="preserve">Contratos formalizados 2025</w:t>
            </w:r>
          </w:p>
        </w:tc>
        <w:tc>
          <w:tcPr>
            <w:tcW w:w="369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Penalidades impuestas por contratistas</w:t>
            </w:r>
          </w:p>
        </w:tc>
        <w:tc>
          <w:tcPr>
            <w:tcW w:w="486050" w:type="pct"/>
            <w:vAlign w:val="center"/>
          </w:tcPr>
          <w:p>
            <w:pPr>
              <w:jc w:val="center"/>
            </w:pPr>
            <w:r>
              <w:rPr/>
              <w:t xml:space="preserve">No hay actividad en 2025</w:t>
            </w:r>
          </w:p>
        </w:tc>
        <w:tc>
          <w:tcPr>
            <w:tcW w:w="369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Desistimientos y renuncias de contratos</w:t>
            </w:r>
          </w:p>
        </w:tc>
        <w:tc>
          <w:tcPr>
            <w:tcW w:w="486050" w:type="pct"/>
            <w:vAlign w:val="center"/>
          </w:tcPr>
          <w:p>
            <w:pPr>
              <w:jc w:val="center"/>
            </w:pPr>
            <w:r>
              <w:rPr/>
              <w:t xml:space="preserve">La Fundación Gáldar no ha desistido ni renunciado a ningún contrato en el 2025.</w:t>
            </w:r>
          </w:p>
        </w:tc>
        <w:tc>
          <w:tcPr>
            <w:tcW w:w="369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2024</w:t>
      </w:r>
    </w:p>
    <w:tbl>
      <w:tblGrid>
        <w:gridCol w:w="80650" w:type="dxa"/>
        <w:gridCol w:w="208700" w:type="dxa"/>
        <w:gridCol w:w="218850" w:type="dxa"/>
      </w:tblGrid>
      <w:tblPr>
        <w:tblW w:w="484650" w:type="pct"/>
        <w:tblLayout w:type="autofit"/>
        <w:bidiVisual w:val="0"/>
      </w:tblPr>
      <w:tr>
        <w:trPr>
          <w:tblHeader w:val="1"/>
        </w:trPr>
        <w:tc>
          <w:tcPr>
            <w:tcW w:w="800" w:type="pct"/>
            <w:gridSpan w:val="3"/>
          </w:tcPr>
          <w:p>
            <w:pPr/>
            <w:r>
              <w:rPr/>
              <w:t xml:space="preserve">Contratos</w:t>
            </w: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Contratos Programados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Contratos Adjudicados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Nº Contratos Adjudicados: 1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Licitaciones anuladas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Información para la gestión de contratación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Pliegos y documentación complementaria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Pliego de prescripciones técnicas de la contratación por procedimiento abierto, tramitación urgente, del contrato de servicios de actividades docentes, gestión administrativa y de actividades de la Escuela de Música Pedro Espinosa de Gáldar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Pliego de cláusulas administrativas particulares de la contratación por procedimiento abierto sujeto a regulación armonizada, tramitación ordinaria, del contrato de servicios de actividades docentes, gestión administrativa y de actividades de la Escuela Municipal de Música Pedro Espinosa de Gáldar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Contratos Formalizados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Contrato de servicios para la formación artística y gestión de la Escuela de Música Pedro Espinosa, mediante personal cualificado externo ante la falta de medios propios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Porcentaje de contratos adjudicados por modalidad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  <w:r>
              <w:rPr/>
              <w:t xml:space="preserve">Procedimiento Abierto - 227.350,00 € - 100,00% </w:t>
            </w:r>
          </w:p>
        </w:tc>
      </w:tr>
      <w:tr>
        <w:trPr/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Modificaciones - 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Penalidades impuestas - 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Contratos Menores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Estadisticas Contratos Menores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Al no haber contratos menores durante el periodo evaluado , no hay estadisticas al respecto.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80650" w:type="pct"/>
            <w:vAlign w:val="center"/>
          </w:tcPr>
          <w:p>
            <w:pPr>
              <w:jc w:val="center"/>
            </w:pPr>
            <w:r>
              <w:rPr/>
              <w:t xml:space="preserve">Contratos Resueltos</w:t>
            </w:r>
          </w:p>
        </w:tc>
        <w:tc>
          <w:tcPr>
            <w:tcW w:w="208700" w:type="pct"/>
            <w:vAlign w:val="center"/>
          </w:tcPr>
          <w:p>
            <w:pPr>
              <w:jc w:val="center"/>
            </w:pPr>
            <w:r>
              <w:rPr/>
              <w:t xml:space="preserve">Desistimiento y Renuncia - No existió actividad en 2024</w:t>
            </w:r>
          </w:p>
        </w:tc>
        <w:tc>
          <w:tcPr>
            <w:tcW w:w="21885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2023 (2º Semestre)</w:t>
      </w:r>
    </w:p>
    <w:tbl>
      <w:tblGrid>
        <w:gridCol w:w="499850" w:type="dxa"/>
        <w:gridCol w:w="26350" w:type="dxa"/>
        <w:gridCol w:w="233300" w:type="dxa"/>
      </w:tblGrid>
      <w:tblPr>
        <w:tblW w:w="476550" w:type="pct"/>
        <w:tblLayout w:type="autofit"/>
        <w:bidiVisual w:val="0"/>
      </w:tblPr>
      <w:tr>
        <w:trPr>
          <w:tblHeader w:val="1"/>
        </w:trPr>
        <w:tc>
          <w:tcPr>
            <w:tcW w:w="496650" w:type="pct"/>
            <w:gridSpan w:val="3"/>
          </w:tcPr>
          <w:p>
            <w:pPr/>
            <w:r>
              <w:rPr/>
              <w:t xml:space="preserve">Contratos </w:t>
            </w: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Contratos Programados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Contratos Adjudicados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Licitaciones anuladas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Pliegos y documentación complementaria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Contratos Formalizados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2023 - No hay datos estadisticos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Modificaciones - No existió actividad en 2024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Penalidades impuestas - 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Contratos Menores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Estadisticas de Contratos Menores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Al no haber contratos menores durante el periodo evaluado , no hay estadisticas al respecto.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9850" w:type="pct"/>
            <w:vAlign w:val="center"/>
          </w:tcPr>
          <w:p>
            <w:pPr>
              <w:jc w:val="center"/>
            </w:pPr>
            <w:r>
              <w:rPr/>
              <w:t xml:space="preserve">Contratos Resueltos</w:t>
            </w:r>
          </w:p>
        </w:tc>
        <w:tc>
          <w:tcPr>
            <w:tcW w:w="26350" w:type="pct"/>
            <w:vAlign w:val="center"/>
          </w:tcPr>
          <w:p>
            <w:pPr>
              <w:jc w:val="center"/>
            </w:pPr>
            <w:r>
              <w:rPr/>
              <w:t xml:space="preserve">Desistimiento y Renuncia - No existió actividad en 2023</w:t>
            </w:r>
          </w:p>
        </w:tc>
        <w:tc>
          <w:tcPr>
            <w:tcW w:w="2333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2026-07-21T05:12:29+00:00</dcterms:created>
  <dcterms:modified xsi:type="dcterms:W3CDTF">2026-07-21T05:12:29+00:00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