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6750" w:type="dxa"/>
        <w:gridCol w:w="4144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491200" w:type="pct"/>
            <w:gridSpan w:val="2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Órgano de Contratación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Presidencia de la Fundación Canaria Ciudad de Gáldar</w:t>
            </w:r>
          </w:p>
        </w:tc>
      </w:tr>
      <w:tr>
        <w:trPr/>
        <w:tc>
          <w:tcPr>
            <w:tcW w:w="491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 Postal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Domicilio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C/ Plaza de Santiago, 1 , 35460. Gáldar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928.880.050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Fax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928.550.394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jmcastillo@galdar.es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12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Información que se considere necesaria o conveniente para la adecuada gestión de la contratación</w:t>
      </w:r>
    </w:p>
    <w:p>
      <w:pPr/>
      <w:r>
        <w:rPr/>
        <w:t xml:space="preserve"> - No existen instrucciones, normas internas de contratación u otra información de relevancia en la materia en esta Entidad, durante los años 2023, 2024 y 2025.  - La gestión de contratación se gestiona a partir de la </w:t>
      </w:r>
    </w:p>
    <w:p>
      <w:pPr/>
      <w:r>
        <w:rPr/>
        <w:t xml:space="preserve"> - No se han realizado preguntas frecuentes en los procesos de contratación ni se han realizado aclaraciones relativas al contenido de los contratos durante los años 2023, 2024 y 2025.</w:t>
      </w:r>
    </w:p>
    <w:p>
      <w:pPr>
        <w:jc w:val="center"/>
      </w:pPr>
      <w:r>
        <w:rPr>
          <w:b w:val="1"/>
          <w:bCs w:val="1"/>
        </w:rPr>
        <w:t xml:space="preserve">2025</w:t>
      </w:r>
    </w:p>
    <w:tbl>
      <w:tblGrid>
        <w:gridCol w:w="152550" w:type="dxa"/>
        <w:gridCol w:w="84700" w:type="dxa"/>
        <w:gridCol w:w="22635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463600" w:type="pct"/>
            <w:gridSpan w:val="3"/>
          </w:tcPr>
          <w:p>
            <w:pPr/>
            <w:r>
              <w:rPr/>
              <w:t xml:space="preserve">Contratos</w:t>
            </w: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Contratos programados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Contratos adjudicados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No hay actividad en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Composición de la mesa de contratación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Composición de la mesa de contratación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Contratos formalizados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2550" w:type="pct"/>
            <w:vAlign w:val="center"/>
          </w:tcPr>
          <w:p>
            <w:pPr>
              <w:jc w:val="center"/>
            </w:pPr>
            <w:r>
              <w:rPr/>
              <w:t xml:space="preserve">Penalidades impuestas por contratistas</w:t>
            </w:r>
          </w:p>
        </w:tc>
        <w:tc>
          <w:tcPr>
            <w:tcW w:w="84700" w:type="pct"/>
            <w:vAlign w:val="center"/>
          </w:tcPr>
          <w:p>
            <w:pPr>
              <w:jc w:val="center"/>
            </w:pPr>
            <w:r>
              <w:rPr/>
              <w:t xml:space="preserve">No hay actividad en 2025</w:t>
            </w:r>
          </w:p>
        </w:tc>
        <w:tc>
          <w:tcPr>
            <w:tcW w:w="22635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2024</w:t>
      </w:r>
    </w:p>
    <w:tbl>
      <w:tblGrid>
        <w:gridCol w:w="80650" w:type="dxa"/>
        <w:gridCol w:w="208700" w:type="dxa"/>
        <w:gridCol w:w="2188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800" w:type="pct"/>
            <w:gridSpan w:val="3"/>
          </w:tcPr>
          <w:p>
            <w:pPr/>
            <w:r>
              <w:rPr/>
              <w:t xml:space="preserve">Contratos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Nº Contratos Adjudicados: 1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Información para la gestión de contratación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Pliegos y documentación complementaria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Pliego de prescripciones técnicas de la contratación por procedimiento abierto, tramitación urgente, del contrato de servicios de actividades docentes, gestión administrativa y de actividades de la Escuela de Música Pedro Espinosa de Gáldar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Pliego de cláusulas administrativas particulares de la contratación por procedimiento abierto sujeto a regulación armonizada, tramitación ordinaria, del contrato de servicios de actividades docentes, gestión administrativa y de actividades de la Escuela Municipal de Música Pedro Espinosa de Gáldar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Contrato de servicios para la formación artística y gestión de la Escuela de Música Pedro Espinosa, mediante personal cualificado externo ante la falta de medios propios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Porcentaje de contratos adjudicados por modalidad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Procedimiento Abierto - 227.350,00 € - 100,00% </w:t>
            </w: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Modificaciones - 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Penalidades impuestas - 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Menores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Estadisticas Contratos Menores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Al no haber contratos menores durante el periodo evaluado , no hay estadisticas al respecto.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Resueltos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Desistimiento y Renuncia - 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2023 (2º Semestre)</w:t>
      </w:r>
    </w:p>
    <w:tbl>
      <w:tblGrid>
        <w:gridCol w:w="499850" w:type="dxa"/>
        <w:gridCol w:w="26350" w:type="dxa"/>
        <w:gridCol w:w="233300" w:type="dxa"/>
      </w:tblGrid>
      <w:tblPr>
        <w:tblW w:w="476550" w:type="pct"/>
        <w:tblLayout w:type="autofit"/>
        <w:bidiVisual w:val="0"/>
      </w:tblPr>
      <w:tr>
        <w:trPr>
          <w:tblHeader w:val="1"/>
        </w:trPr>
        <w:tc>
          <w:tcPr>
            <w:tcW w:w="496650" w:type="pct"/>
            <w:gridSpan w:val="3"/>
          </w:tcPr>
          <w:p>
            <w:pPr/>
            <w:r>
              <w:rPr/>
              <w:t xml:space="preserve">Contratos </w:t>
            </w: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Pliegos y documentación complementaria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2023 - No hay datos estadisticos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Modificaciones - No existió actividad en 2024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Penalidades impuestas - 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Menores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Estadisticas de Contratos Menores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Al no haber contratos menores durante el periodo evaluado , no hay estadisticas al respecto.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Resueltos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Desistimiento y Renuncia - 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2026-06-03T18:21:47+00:00</dcterms:created>
  <dcterms:modified xsi:type="dcterms:W3CDTF">2026-06-03T18:21:47+00:00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