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   </w:t>
      </w:r>
    </w:p>
    <w:tbl>
      <w:tblGrid>
        <w:gridCol w:w="179100" w:type="dxa"/>
        <w:gridCol w:w="3101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179100" w:type="pct"/>
          </w:tcPr>
          <w:p>
            <w:pPr/>
            <w:r>
              <w:rPr/>
              <w:t xml:space="preserve">2025</w:t>
            </w:r>
          </w:p>
        </w:tc>
        <w:tc>
          <w:tcPr>
            <w:tcW w:w="3101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Entidad a la que se realiza la encomienda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Tarifas y precios fijados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Personas o entidades adjudicatarias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Procedimiento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Importe de las adjudicaciones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</w:tbl>
    <w:p>
      <w:pPr/>
      <w:r>
        <w:rPr/>
        <w:t xml:space="preserve"> </w:t>
      </w:r>
    </w:p>
    <w:tbl>
      <w:tblGrid>
        <w:gridCol w:w="179100" w:type="dxa"/>
        <w:gridCol w:w="3101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179100" w:type="pct"/>
          </w:tcPr>
          <w:p>
            <w:pPr/>
            <w:r>
              <w:rPr/>
              <w:t xml:space="preserve">2024</w:t>
            </w:r>
          </w:p>
        </w:tc>
        <w:tc>
          <w:tcPr>
            <w:tcW w:w="3101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Entidad a la que se realiza la encomienda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Tarifas y precios fijados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Personas o entidades adjudicatarias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Procedimiento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179100" w:type="pct"/>
            <w:vAlign w:val="center"/>
          </w:tcPr>
          <w:p>
            <w:pPr/>
            <w:r>
              <w:rPr/>
              <w:t xml:space="preserve">Importe de las adjudicaciones</w:t>
            </w:r>
          </w:p>
        </w:tc>
        <w:tc>
          <w:tcPr>
            <w:tcW w:w="310100" w:type="pct"/>
            <w:vAlign w:val="center"/>
          </w:tcPr>
          <w:p>
            <w:pPr>
              <w:jc w:val="center"/>
            </w:pPr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</w:tbl>
    <w:p>
      <w:pPr/>
      <w:r>
        <w:rPr/>
        <w:t xml:space="preserve"> </w:t>
      </w:r>
    </w:p>
    <w:tbl>
      <w:tblGrid>
        <w:gridCol w:w="222800" w:type="dxa"/>
        <w:gridCol w:w="2804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22800" w:type="pct"/>
          </w:tcPr>
          <w:p>
            <w:pPr/>
            <w:r>
              <w:rPr/>
              <w:t xml:space="preserve">2023</w:t>
            </w:r>
          </w:p>
        </w:tc>
        <w:tc>
          <w:tcPr>
            <w:tcW w:w="28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Entidad a la que se realiza la encomienda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Tarifas y precios fijados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Personas o entidades adjudicatarias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Procedimiento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Importe de las adjudicaciones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</w:tbl>
    <w:p>
      <w:pPr/>
      <w:r>
        <w:rPr/>
        <w:t xml:space="preserve"> </w:t>
      </w:r>
    </w:p>
    <w:tbl>
      <w:tblGrid>
        <w:gridCol w:w="222800" w:type="dxa"/>
        <w:gridCol w:w="2804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22800" w:type="pct"/>
          </w:tcPr>
          <w:p>
            <w:pPr/>
            <w:r>
              <w:rPr/>
              <w:t xml:space="preserve">2022</w:t>
            </w:r>
          </w:p>
        </w:tc>
        <w:tc>
          <w:tcPr>
            <w:tcW w:w="28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Entidad a la que se realiza la encomienda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Tarifas y precios fijados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Personas o entidades adjudicatarias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Procedimiento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Importe de las adjudicaciones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</w:tbl>
    <w:p>
      <w:pPr/>
      <w:r>
        <w:rPr/>
        <w:t xml:space="preserve"> </w:t>
      </w:r>
    </w:p>
    <w:tbl>
      <w:tblGrid>
        <w:gridCol w:w="222800" w:type="dxa"/>
        <w:gridCol w:w="2804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22800" w:type="pct"/>
          </w:tcPr>
          <w:p>
            <w:pPr/>
            <w:r>
              <w:rPr/>
              <w:t xml:space="preserve">2021</w:t>
            </w:r>
          </w:p>
        </w:tc>
        <w:tc>
          <w:tcPr>
            <w:tcW w:w="28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Entidad a la que se realiza la encomienda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Tarifas y precios fijados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Personas o entidades adjudicatarias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Procedimiento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Importe de las adjudicaciones</w:t>
            </w:r>
          </w:p>
        </w:tc>
        <w:tc>
          <w:tcPr>
            <w:tcW w:w="280450" w:type="pct"/>
          </w:tcPr>
          <w:p>
            <w:pPr/>
            <w:r>
              <w:rPr/>
              <w:t xml:space="preserve">La entidad no ha realizado encomiendas de gestión ni encargos a medios propios por importe superior a 5.000 €, IGIC excluido, en el periodo evaluado</w:t>
            </w:r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2026-06-03T18:23:24+00:00</dcterms:created>
  <dcterms:modified xsi:type="dcterms:W3CDTF">2026-06-03T18:23:24+00:00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