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150" w:type="dxa"/>
        <w:gridCol w:w="324700" w:type="dxa"/>
        <w:gridCol w:w="4750200" w:type="dxa"/>
        <w:gridCol w:w="461550" w:type="dxa"/>
        <w:gridCol w:w="3139700" w:type="dxa"/>
        <w:gridCol w:w="3778650" w:type="dxa"/>
        <w:gridCol w:w="2076250" w:type="dxa"/>
        <w:gridCol w:w="3938050" w:type="dxa"/>
        <w:gridCol w:w="959200" w:type="dxa"/>
        <w:gridCol w:w="4895750" w:type="dxa"/>
        <w:gridCol w:w="214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Categoría Profesional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Grupo Cotización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Puesto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Código de Contrato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Horas Trabajadas/ % jornada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Antigüedad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Fecha de Contratación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Salario Base Anual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Otros Complementos Anual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Paga Extra Anual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Elsa Santana Hernandez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Monitora Taller Calado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Monitora Taller Calado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57,7%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06/09/2021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11/09/2024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5.697,93€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69,5€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853,31€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Fatima de Jesus Sosa Pulido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Profesora Música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Profesora Música y Movimiento, Armonía y Lenguaje Musical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10/10/2022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05/09/2024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11.774,98€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1.962,48€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María Teresa Robaina González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Profesor Música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Profesor Canto y Armonía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21/09/2020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01/09/2023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6.722,88€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91,6€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1.120,46€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Miguel A. Bolaños Mateos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Guia/Informador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Director Museo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02/04/2018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06/04/2021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16.501,96€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530,29€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1.859,64€</w:t>
            </w:r>
          </w:p>
        </w:tc>
      </w:tr>
    </w:tbl>
    <w:p>
      <w:pPr/>
      <w:r>
        <w:rPr/>
        <w:t xml:space="preserve">* Toda la plantilla es personal laboral, no habiendo funcionarios ni personal eventual. </w:t>
      </w:r>
    </w:p>
    <w:p>
      <w:pPr/>
      <w:r>
        <w:rPr/>
        <w:t xml:space="preserve"> </w:t>
      </w:r>
    </w:p>
    <w:tbl>
      <w:tblGrid>
        <w:gridCol w:w="3050" w:type="dxa"/>
        <w:gridCol w:w="189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2025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2024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2022 y 2023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 personal funcionario, laboral y estatutario 2021 (Con correcciones)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2026-10-22T00:07:11+00:00</dcterms:created>
  <dcterms:modified xsi:type="dcterms:W3CDTF">2026-10-22T00:07:11+00:00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