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150" w:type="dxa"/>
        <w:gridCol w:w="324700" w:type="dxa"/>
        <w:gridCol w:w="4750200" w:type="dxa"/>
        <w:gridCol w:w="461550" w:type="dxa"/>
        <w:gridCol w:w="3139700" w:type="dxa"/>
        <w:gridCol w:w="3778650" w:type="dxa"/>
        <w:gridCol w:w="2076250" w:type="dxa"/>
        <w:gridCol w:w="3938050" w:type="dxa"/>
        <w:gridCol w:w="959200" w:type="dxa"/>
        <w:gridCol w:w="4895750" w:type="dxa"/>
        <w:gridCol w:w="214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Categoría Profesional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Grupo Cotización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Puesto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Código de Contrato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Horas Trabajadas/ % jornada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Antigüedad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Fecha de Contratación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Salario Base Anual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Otros Complementos Anual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Paga Extra Anual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Elsa Santana Hernandez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57,7%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06/09/2021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11/09/2024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5.697,93€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69,5€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853,31€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Fatima de Jesus Sosa Pulido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Profesora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Profesora Música y Movimiento, Armonía y Lenguaje Musical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10/10/2022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05/09/2024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11.774,98€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1.962,48€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María Teresa Robaina González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 Canto y Armonía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21/09/2020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01/09/2023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6.722,88€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91,6€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1.120,46€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Miguel A. Bolaños Mateos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Guia/Informador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Director Museo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02/04/2018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06/04/2021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16.501,96€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530,29€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1.859,64€</w:t>
            </w:r>
          </w:p>
        </w:tc>
      </w:tr>
    </w:tbl>
    <w:p>
      <w:pPr/>
      <w:r>
        <w:rPr/>
        <w:t xml:space="preserve">* Toda la plantilla es personal laboral, no habiendo funcionarios ni personal eventual. </w:t>
      </w:r>
    </w:p>
    <w:p>
      <w:pPr/>
      <w:r>
        <w:rPr/>
        <w:t xml:space="preserve"> </w:t>
      </w:r>
    </w:p>
    <w:tbl>
      <w:tblGrid>
        <w:gridCol w:w="3050" w:type="dxa"/>
        <w:gridCol w:w="189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2025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2024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2022 y 2023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 personal funcionario, laboral y estatutario 2021 (Con correcciones)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2026-09-04T07:02:04+00:00</dcterms:created>
  <dcterms:modified xsi:type="dcterms:W3CDTF">2026-09-04T07:02:04+00:00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